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C80" w:rsidRPr="00D20186" w:rsidRDefault="006A3C80" w:rsidP="00D20186">
      <w:pPr>
        <w:jc w:val="center"/>
        <w:rPr>
          <w:b/>
          <w:sz w:val="24"/>
          <w:szCs w:val="24"/>
        </w:rPr>
      </w:pPr>
      <w:r w:rsidRPr="00863260">
        <w:rPr>
          <w:b/>
          <w:sz w:val="24"/>
          <w:szCs w:val="24"/>
        </w:rPr>
        <w:t>Fellowships at OSU – A Quick Tutorial</w:t>
      </w:r>
    </w:p>
    <w:p w:rsidR="00550FB2" w:rsidRPr="00863260" w:rsidRDefault="006A3C80">
      <w:pPr>
        <w:rPr>
          <w:rFonts w:ascii="Calibri" w:hAnsi="Calibri" w:cs="Calibri"/>
        </w:rPr>
      </w:pPr>
      <w:r w:rsidRPr="00863260">
        <w:rPr>
          <w:rFonts w:ascii="Calibri" w:hAnsi="Calibri" w:cs="Calibri"/>
        </w:rPr>
        <w:t xml:space="preserve">While it is a very common perception that fellowships and GA positions are essentially identical in terms of the student benefit and general appointment process at </w:t>
      </w:r>
      <w:r w:rsidR="000B0E28">
        <w:rPr>
          <w:rFonts w:ascii="Calibri" w:hAnsi="Calibri" w:cs="Calibri"/>
        </w:rPr>
        <w:t>OSU, there are actually very critical and impactful</w:t>
      </w:r>
      <w:r w:rsidRPr="00863260">
        <w:rPr>
          <w:rFonts w:ascii="Calibri" w:hAnsi="Calibri" w:cs="Calibri"/>
        </w:rPr>
        <w:t xml:space="preserve"> distinctions between the two – some of which have a financial impact on the</w:t>
      </w:r>
      <w:r w:rsidR="00550FB2" w:rsidRPr="00863260">
        <w:rPr>
          <w:rFonts w:ascii="Calibri" w:hAnsi="Calibri" w:cs="Calibri"/>
        </w:rPr>
        <w:t xml:space="preserve"> student and/or unit/mentor.</w:t>
      </w:r>
    </w:p>
    <w:p w:rsidR="0070394E" w:rsidRDefault="000B0E28" w:rsidP="00550FB2">
      <w:pPr>
        <w:rPr>
          <w:rFonts w:ascii="Calibri" w:hAnsi="Calibri" w:cs="Calibri"/>
        </w:rPr>
      </w:pPr>
      <w:r>
        <w:rPr>
          <w:rFonts w:ascii="Calibri" w:hAnsi="Calibri" w:cs="Calibri"/>
        </w:rPr>
        <w:t xml:space="preserve">Thus, it is critically important that we submit proposals in a manner which correctly reflects the role of the student in the research project.  </w:t>
      </w:r>
      <w:r w:rsidR="00BB2307">
        <w:rPr>
          <w:rFonts w:ascii="Calibri" w:hAnsi="Calibri" w:cs="Calibri"/>
        </w:rPr>
        <w:t xml:space="preserve">In reviewing </w:t>
      </w:r>
      <w:r>
        <w:rPr>
          <w:rFonts w:ascii="Calibri" w:hAnsi="Calibri" w:cs="Calibri"/>
        </w:rPr>
        <w:t>funding announcements, pre-award support staff should be cognizant of key indicators which can provide guidance for proposal submission</w:t>
      </w:r>
      <w:r w:rsidR="00BB2307">
        <w:rPr>
          <w:rFonts w:ascii="Calibri" w:hAnsi="Calibri" w:cs="Calibri"/>
        </w:rPr>
        <w:t>s</w:t>
      </w:r>
      <w:r>
        <w:rPr>
          <w:rFonts w:ascii="Calibri" w:hAnsi="Calibri" w:cs="Calibri"/>
        </w:rPr>
        <w:t xml:space="preserve">.   Some of </w:t>
      </w:r>
      <w:r w:rsidR="00D5060A">
        <w:rPr>
          <w:rFonts w:ascii="Calibri" w:hAnsi="Calibri" w:cs="Calibri"/>
        </w:rPr>
        <w:t xml:space="preserve">these indicators or </w:t>
      </w:r>
      <w:r>
        <w:rPr>
          <w:rFonts w:ascii="Calibri" w:hAnsi="Calibri" w:cs="Calibri"/>
        </w:rPr>
        <w:t>criteria that</w:t>
      </w:r>
      <w:r w:rsidR="0070394E">
        <w:rPr>
          <w:rFonts w:ascii="Calibri" w:hAnsi="Calibri" w:cs="Calibri"/>
        </w:rPr>
        <w:t xml:space="preserve"> should be considered include:</w:t>
      </w:r>
    </w:p>
    <w:tbl>
      <w:tblPr>
        <w:tblStyle w:val="TableGrid"/>
        <w:tblW w:w="0" w:type="auto"/>
        <w:tblLook w:val="04A0" w:firstRow="1" w:lastRow="0" w:firstColumn="1" w:lastColumn="0" w:noHBand="0" w:noVBand="1"/>
      </w:tblPr>
      <w:tblGrid>
        <w:gridCol w:w="2515"/>
        <w:gridCol w:w="3718"/>
        <w:gridCol w:w="3117"/>
      </w:tblGrid>
      <w:tr w:rsidR="00AB70E1" w:rsidTr="0070394E">
        <w:tc>
          <w:tcPr>
            <w:tcW w:w="2515" w:type="dxa"/>
          </w:tcPr>
          <w:p w:rsidR="00AB70E1" w:rsidRDefault="00AB70E1" w:rsidP="00550FB2">
            <w:pPr>
              <w:rPr>
                <w:rFonts w:ascii="Calibri" w:hAnsi="Calibri" w:cs="Calibri"/>
              </w:rPr>
            </w:pPr>
          </w:p>
        </w:tc>
        <w:tc>
          <w:tcPr>
            <w:tcW w:w="3718" w:type="dxa"/>
          </w:tcPr>
          <w:p w:rsidR="00AB70E1" w:rsidRDefault="00AB70E1" w:rsidP="00AB70E1">
            <w:pPr>
              <w:jc w:val="center"/>
              <w:rPr>
                <w:rFonts w:ascii="Calibri" w:hAnsi="Calibri" w:cs="Calibri"/>
              </w:rPr>
            </w:pPr>
            <w:r w:rsidRPr="00863260">
              <w:rPr>
                <w:rFonts w:ascii="Calibri" w:hAnsi="Calibri" w:cs="Calibri"/>
                <w:b/>
              </w:rPr>
              <w:t>Graduate Assistantship</w:t>
            </w:r>
          </w:p>
        </w:tc>
        <w:tc>
          <w:tcPr>
            <w:tcW w:w="3117" w:type="dxa"/>
          </w:tcPr>
          <w:p w:rsidR="00AB70E1" w:rsidRDefault="00AB70E1" w:rsidP="00DE48BE">
            <w:pPr>
              <w:jc w:val="center"/>
              <w:rPr>
                <w:rFonts w:ascii="Calibri" w:hAnsi="Calibri" w:cs="Calibri"/>
              </w:rPr>
            </w:pPr>
            <w:r w:rsidRPr="00863260">
              <w:rPr>
                <w:rFonts w:ascii="Calibri" w:hAnsi="Calibri" w:cs="Calibri"/>
                <w:b/>
              </w:rPr>
              <w:t>Fellowship Appointment</w:t>
            </w:r>
          </w:p>
        </w:tc>
      </w:tr>
      <w:tr w:rsidR="00AB70E1" w:rsidTr="0070394E">
        <w:tc>
          <w:tcPr>
            <w:tcW w:w="2515" w:type="dxa"/>
          </w:tcPr>
          <w:p w:rsidR="00AB70E1" w:rsidRPr="00BB2307" w:rsidRDefault="0070394E" w:rsidP="00550FB2">
            <w:pPr>
              <w:rPr>
                <w:rFonts w:ascii="Calibri" w:hAnsi="Calibri" w:cs="Calibri"/>
                <w:b/>
              </w:rPr>
            </w:pPr>
            <w:r w:rsidRPr="00BB2307">
              <w:rPr>
                <w:rFonts w:ascii="Calibri" w:hAnsi="Calibri" w:cs="Calibri"/>
                <w:b/>
              </w:rPr>
              <w:t>Student/faculty relationship</w:t>
            </w:r>
          </w:p>
        </w:tc>
        <w:tc>
          <w:tcPr>
            <w:tcW w:w="3718" w:type="dxa"/>
          </w:tcPr>
          <w:p w:rsidR="00AB70E1" w:rsidRDefault="0070394E" w:rsidP="00550FB2">
            <w:pPr>
              <w:rPr>
                <w:rFonts w:ascii="Calibri" w:hAnsi="Calibri" w:cs="Calibri"/>
              </w:rPr>
            </w:pPr>
            <w:r>
              <w:rPr>
                <w:rFonts w:ascii="Calibri" w:hAnsi="Calibri" w:cs="Calibri"/>
              </w:rPr>
              <w:t xml:space="preserve">Faculty member directs, supervises, </w:t>
            </w:r>
            <w:r w:rsidR="00D5060A">
              <w:rPr>
                <w:rFonts w:ascii="Calibri" w:hAnsi="Calibri" w:cs="Calibri"/>
              </w:rPr>
              <w:t xml:space="preserve">and </w:t>
            </w:r>
            <w:r>
              <w:rPr>
                <w:rFonts w:ascii="Calibri" w:hAnsi="Calibri" w:cs="Calibri"/>
              </w:rPr>
              <w:t>evaluates actions and time</w:t>
            </w:r>
            <w:r w:rsidR="00D5060A">
              <w:rPr>
                <w:rFonts w:ascii="Calibri" w:hAnsi="Calibri" w:cs="Calibri"/>
              </w:rPr>
              <w:t>/effort</w:t>
            </w:r>
            <w:r>
              <w:rPr>
                <w:rFonts w:ascii="Calibri" w:hAnsi="Calibri" w:cs="Calibri"/>
              </w:rPr>
              <w:t xml:space="preserve"> of student</w:t>
            </w:r>
          </w:p>
        </w:tc>
        <w:tc>
          <w:tcPr>
            <w:tcW w:w="3117" w:type="dxa"/>
          </w:tcPr>
          <w:p w:rsidR="00AB70E1" w:rsidRDefault="0070394E" w:rsidP="00550FB2">
            <w:pPr>
              <w:rPr>
                <w:rFonts w:ascii="Calibri" w:hAnsi="Calibri" w:cs="Calibri"/>
              </w:rPr>
            </w:pPr>
            <w:r>
              <w:rPr>
                <w:rFonts w:ascii="Calibri" w:hAnsi="Calibri" w:cs="Calibri"/>
              </w:rPr>
              <w:t xml:space="preserve">Student is self-directed in managing time and research progress, under the </w:t>
            </w:r>
            <w:r w:rsidRPr="00D5060A">
              <w:rPr>
                <w:rFonts w:ascii="Calibri" w:hAnsi="Calibri" w:cs="Calibri"/>
                <w:i/>
              </w:rPr>
              <w:t>mentorship and guidance</w:t>
            </w:r>
            <w:r>
              <w:rPr>
                <w:rFonts w:ascii="Calibri" w:hAnsi="Calibri" w:cs="Calibri"/>
              </w:rPr>
              <w:t xml:space="preserve"> of </w:t>
            </w:r>
            <w:r w:rsidR="00BB2307">
              <w:rPr>
                <w:rFonts w:ascii="Calibri" w:hAnsi="Calibri" w:cs="Calibri"/>
              </w:rPr>
              <w:t xml:space="preserve">a </w:t>
            </w:r>
            <w:r>
              <w:rPr>
                <w:rFonts w:ascii="Calibri" w:hAnsi="Calibri" w:cs="Calibri"/>
              </w:rPr>
              <w:t>faculty advisor</w:t>
            </w:r>
          </w:p>
        </w:tc>
      </w:tr>
      <w:tr w:rsidR="00AB70E1" w:rsidTr="0070394E">
        <w:tc>
          <w:tcPr>
            <w:tcW w:w="2515" w:type="dxa"/>
          </w:tcPr>
          <w:p w:rsidR="00AB70E1" w:rsidRPr="00BB2307" w:rsidRDefault="0070394E" w:rsidP="00550FB2">
            <w:pPr>
              <w:rPr>
                <w:rFonts w:ascii="Calibri" w:hAnsi="Calibri" w:cs="Calibri"/>
                <w:b/>
              </w:rPr>
            </w:pPr>
            <w:r w:rsidRPr="00BB2307">
              <w:rPr>
                <w:rFonts w:ascii="Calibri" w:hAnsi="Calibri" w:cs="Calibri"/>
                <w:b/>
              </w:rPr>
              <w:t>Whose research is it?</w:t>
            </w:r>
          </w:p>
        </w:tc>
        <w:tc>
          <w:tcPr>
            <w:tcW w:w="3718" w:type="dxa"/>
          </w:tcPr>
          <w:p w:rsidR="00AB70E1" w:rsidRDefault="0070394E" w:rsidP="00550FB2">
            <w:pPr>
              <w:rPr>
                <w:rFonts w:ascii="Calibri" w:hAnsi="Calibri" w:cs="Calibri"/>
              </w:rPr>
            </w:pPr>
            <w:r>
              <w:rPr>
                <w:rFonts w:ascii="Calibri" w:hAnsi="Calibri" w:cs="Calibri"/>
              </w:rPr>
              <w:t>The student’s efforts are contributing to the research progress/deliverables of the faculty member’s research</w:t>
            </w:r>
          </w:p>
        </w:tc>
        <w:tc>
          <w:tcPr>
            <w:tcW w:w="3117" w:type="dxa"/>
          </w:tcPr>
          <w:p w:rsidR="00AB70E1" w:rsidRDefault="0070394E" w:rsidP="0070394E">
            <w:pPr>
              <w:rPr>
                <w:rFonts w:ascii="Calibri" w:hAnsi="Calibri" w:cs="Calibri"/>
              </w:rPr>
            </w:pPr>
            <w:r>
              <w:rPr>
                <w:rFonts w:ascii="Calibri" w:hAnsi="Calibri" w:cs="Calibri"/>
              </w:rPr>
              <w:t xml:space="preserve">The student’s </w:t>
            </w:r>
            <w:r w:rsidR="00D5060A">
              <w:rPr>
                <w:rFonts w:ascii="Calibri" w:hAnsi="Calibri" w:cs="Calibri"/>
              </w:rPr>
              <w:t xml:space="preserve">own </w:t>
            </w:r>
            <w:r>
              <w:rPr>
                <w:rFonts w:ascii="Calibri" w:hAnsi="Calibri" w:cs="Calibri"/>
              </w:rPr>
              <w:t>research is the basis for the funding application</w:t>
            </w:r>
          </w:p>
        </w:tc>
      </w:tr>
      <w:tr w:rsidR="00AB70E1" w:rsidTr="0070394E">
        <w:tc>
          <w:tcPr>
            <w:tcW w:w="2515" w:type="dxa"/>
          </w:tcPr>
          <w:p w:rsidR="00AB70E1" w:rsidRPr="00BB2307" w:rsidRDefault="0070394E" w:rsidP="00550FB2">
            <w:pPr>
              <w:rPr>
                <w:rFonts w:ascii="Calibri" w:hAnsi="Calibri" w:cs="Calibri"/>
                <w:b/>
              </w:rPr>
            </w:pPr>
            <w:r w:rsidRPr="00BB2307">
              <w:rPr>
                <w:rFonts w:ascii="Calibri" w:hAnsi="Calibri" w:cs="Calibri"/>
                <w:b/>
              </w:rPr>
              <w:t>Whose award is it?</w:t>
            </w:r>
          </w:p>
        </w:tc>
        <w:tc>
          <w:tcPr>
            <w:tcW w:w="3718" w:type="dxa"/>
          </w:tcPr>
          <w:p w:rsidR="00AB70E1" w:rsidRDefault="00D5060A" w:rsidP="00550FB2">
            <w:pPr>
              <w:rPr>
                <w:rFonts w:ascii="Calibri" w:hAnsi="Calibri" w:cs="Calibri"/>
              </w:rPr>
            </w:pPr>
            <w:r>
              <w:rPr>
                <w:rFonts w:ascii="Calibri" w:hAnsi="Calibri" w:cs="Calibri"/>
              </w:rPr>
              <w:t>Faculty member is the PI of record</w:t>
            </w:r>
          </w:p>
        </w:tc>
        <w:tc>
          <w:tcPr>
            <w:tcW w:w="3117" w:type="dxa"/>
          </w:tcPr>
          <w:p w:rsidR="00AB70E1" w:rsidRDefault="00D5060A" w:rsidP="00D5060A">
            <w:pPr>
              <w:rPr>
                <w:rFonts w:ascii="Calibri" w:hAnsi="Calibri" w:cs="Calibri"/>
              </w:rPr>
            </w:pPr>
            <w:r>
              <w:rPr>
                <w:rFonts w:ascii="Calibri" w:hAnsi="Calibri" w:cs="Calibri"/>
              </w:rPr>
              <w:t>Can vary</w:t>
            </w:r>
            <w:r w:rsidR="00FC1E4D">
              <w:rPr>
                <w:rFonts w:ascii="Calibri" w:hAnsi="Calibri" w:cs="Calibri"/>
              </w:rPr>
              <w:t xml:space="preserve"> (not typical of </w:t>
            </w:r>
            <w:r>
              <w:rPr>
                <w:rFonts w:ascii="Calibri" w:hAnsi="Calibri" w:cs="Calibri"/>
              </w:rPr>
              <w:t>training grants), but sponsor may</w:t>
            </w:r>
            <w:r w:rsidR="00FC1E4D">
              <w:rPr>
                <w:rFonts w:ascii="Calibri" w:hAnsi="Calibri" w:cs="Calibri"/>
              </w:rPr>
              <w:t xml:space="preserve"> issue </w:t>
            </w:r>
            <w:r>
              <w:rPr>
                <w:rFonts w:ascii="Calibri" w:hAnsi="Calibri" w:cs="Calibri"/>
              </w:rPr>
              <w:t>award with the student named as PI (though OSU practice is to name the faculty as PI of record).  Student may transfer award to another institution</w:t>
            </w:r>
            <w:r w:rsidR="00FC1E4D">
              <w:rPr>
                <w:rFonts w:ascii="Calibri" w:hAnsi="Calibri" w:cs="Calibri"/>
              </w:rPr>
              <w:t>.</w:t>
            </w:r>
            <w:r>
              <w:rPr>
                <w:rFonts w:ascii="Calibri" w:hAnsi="Calibri" w:cs="Calibri"/>
              </w:rPr>
              <w:t xml:space="preserve"> </w:t>
            </w:r>
          </w:p>
        </w:tc>
      </w:tr>
      <w:tr w:rsidR="0070394E" w:rsidTr="0070394E">
        <w:tc>
          <w:tcPr>
            <w:tcW w:w="2515" w:type="dxa"/>
          </w:tcPr>
          <w:p w:rsidR="0070394E" w:rsidRPr="00BB2307" w:rsidRDefault="0070394E" w:rsidP="00550FB2">
            <w:pPr>
              <w:rPr>
                <w:rFonts w:ascii="Calibri" w:hAnsi="Calibri" w:cs="Calibri"/>
                <w:b/>
              </w:rPr>
            </w:pPr>
            <w:r w:rsidRPr="00BB2307">
              <w:rPr>
                <w:rFonts w:ascii="Calibri" w:hAnsi="Calibri" w:cs="Calibri"/>
                <w:b/>
              </w:rPr>
              <w:t>Key words or components in funding announcement</w:t>
            </w:r>
          </w:p>
        </w:tc>
        <w:tc>
          <w:tcPr>
            <w:tcW w:w="3718" w:type="dxa"/>
          </w:tcPr>
          <w:p w:rsidR="0070394E" w:rsidRDefault="00D5060A" w:rsidP="00550FB2">
            <w:pPr>
              <w:rPr>
                <w:rFonts w:ascii="Calibri" w:hAnsi="Calibri" w:cs="Calibri"/>
              </w:rPr>
            </w:pPr>
            <w:r>
              <w:rPr>
                <w:rFonts w:ascii="Calibri" w:hAnsi="Calibri" w:cs="Calibri"/>
              </w:rPr>
              <w:t>Work, salary, effort, support personnel, assistantship</w:t>
            </w:r>
          </w:p>
        </w:tc>
        <w:tc>
          <w:tcPr>
            <w:tcW w:w="3117" w:type="dxa"/>
          </w:tcPr>
          <w:p w:rsidR="0070394E" w:rsidRDefault="00D5060A" w:rsidP="00550FB2">
            <w:pPr>
              <w:rPr>
                <w:rFonts w:ascii="Calibri" w:hAnsi="Calibri" w:cs="Calibri"/>
              </w:rPr>
            </w:pPr>
            <w:r>
              <w:rPr>
                <w:rFonts w:ascii="Calibri" w:hAnsi="Calibri" w:cs="Calibri"/>
              </w:rPr>
              <w:t>Fellowship, mentorship, traineeship, internship, apprenticeship</w:t>
            </w:r>
            <w:r w:rsidR="00FC1E4D">
              <w:rPr>
                <w:rFonts w:ascii="Calibri" w:hAnsi="Calibri" w:cs="Calibri"/>
              </w:rPr>
              <w:t xml:space="preserve">, mentor </w:t>
            </w:r>
            <w:r w:rsidR="002520CF">
              <w:rPr>
                <w:rFonts w:ascii="Calibri" w:hAnsi="Calibri" w:cs="Calibri"/>
              </w:rPr>
              <w:t>support commitments</w:t>
            </w:r>
          </w:p>
        </w:tc>
      </w:tr>
    </w:tbl>
    <w:p w:rsidR="000B0E28" w:rsidRDefault="000B0E28" w:rsidP="00550FB2">
      <w:pPr>
        <w:rPr>
          <w:rFonts w:ascii="Calibri" w:hAnsi="Calibri" w:cs="Calibri"/>
        </w:rPr>
      </w:pPr>
    </w:p>
    <w:p w:rsidR="000B0E28" w:rsidRDefault="00D6691F" w:rsidP="000B0E28">
      <w:pPr>
        <w:rPr>
          <w:rFonts w:ascii="Calibri" w:hAnsi="Calibri" w:cs="Calibri"/>
        </w:rPr>
      </w:pPr>
      <w:r>
        <w:rPr>
          <w:rFonts w:ascii="Calibri" w:hAnsi="Calibri" w:cs="Calibri"/>
        </w:rPr>
        <w:t>As noted above, the way in which these awards are established at OSU has a very real and significant impact to the student.  There are key differences in how and when the students are paid, tax withholding and receipt of tax filing documents, union representation, and, in some cases, minimum/maximum provisions of tuition remission/waiver, health insurance, and other research-related expenses.</w:t>
      </w:r>
    </w:p>
    <w:p w:rsidR="006A3C80" w:rsidRPr="00863260" w:rsidRDefault="00D20186">
      <w:pPr>
        <w:rPr>
          <w:rFonts w:ascii="Calibri" w:hAnsi="Calibri" w:cs="Calibri"/>
        </w:rPr>
      </w:pPr>
      <w:r>
        <w:rPr>
          <w:rFonts w:ascii="Calibri" w:hAnsi="Calibri" w:cs="Calibri"/>
        </w:rPr>
        <w:t xml:space="preserve">In brief, a summary outline of some of those </w:t>
      </w:r>
      <w:r w:rsidR="006A3C80" w:rsidRPr="00863260">
        <w:rPr>
          <w:rFonts w:ascii="Calibri" w:hAnsi="Calibri" w:cs="Calibri"/>
        </w:rPr>
        <w:t>criti</w:t>
      </w:r>
      <w:r w:rsidR="00FC1E4D">
        <w:rPr>
          <w:rFonts w:ascii="Calibri" w:hAnsi="Calibri" w:cs="Calibri"/>
        </w:rPr>
        <w:t xml:space="preserve">cal distinctions </w:t>
      </w:r>
      <w:r>
        <w:rPr>
          <w:rFonts w:ascii="Calibri" w:hAnsi="Calibri" w:cs="Calibri"/>
        </w:rPr>
        <w:t>is noted below:</w:t>
      </w:r>
    </w:p>
    <w:tbl>
      <w:tblPr>
        <w:tblStyle w:val="TableGrid"/>
        <w:tblW w:w="0" w:type="auto"/>
        <w:tblLook w:val="04A0" w:firstRow="1" w:lastRow="0" w:firstColumn="1" w:lastColumn="0" w:noHBand="0" w:noVBand="1"/>
      </w:tblPr>
      <w:tblGrid>
        <w:gridCol w:w="3116"/>
        <w:gridCol w:w="3117"/>
        <w:gridCol w:w="3117"/>
      </w:tblGrid>
      <w:tr w:rsidR="006A3C80" w:rsidRPr="00863260" w:rsidTr="006A3C80">
        <w:tc>
          <w:tcPr>
            <w:tcW w:w="3116" w:type="dxa"/>
          </w:tcPr>
          <w:p w:rsidR="006A3C80" w:rsidRPr="00863260" w:rsidRDefault="006A3C80" w:rsidP="004B2F37">
            <w:pPr>
              <w:jc w:val="center"/>
              <w:rPr>
                <w:rFonts w:ascii="Calibri" w:hAnsi="Calibri" w:cs="Calibri"/>
                <w:b/>
              </w:rPr>
            </w:pPr>
          </w:p>
        </w:tc>
        <w:tc>
          <w:tcPr>
            <w:tcW w:w="3117" w:type="dxa"/>
          </w:tcPr>
          <w:p w:rsidR="006A3C80" w:rsidRPr="00863260" w:rsidRDefault="006A3C80" w:rsidP="004B2F37">
            <w:pPr>
              <w:jc w:val="center"/>
              <w:rPr>
                <w:rFonts w:ascii="Calibri" w:hAnsi="Calibri" w:cs="Calibri"/>
                <w:b/>
              </w:rPr>
            </w:pPr>
            <w:r w:rsidRPr="00863260">
              <w:rPr>
                <w:rFonts w:ascii="Calibri" w:hAnsi="Calibri" w:cs="Calibri"/>
                <w:b/>
              </w:rPr>
              <w:t>Graduate Assistantship</w:t>
            </w:r>
          </w:p>
        </w:tc>
        <w:tc>
          <w:tcPr>
            <w:tcW w:w="3117" w:type="dxa"/>
          </w:tcPr>
          <w:p w:rsidR="006A3C80" w:rsidRPr="00863260" w:rsidRDefault="006A3C80" w:rsidP="004B2F37">
            <w:pPr>
              <w:jc w:val="center"/>
              <w:rPr>
                <w:rFonts w:ascii="Calibri" w:hAnsi="Calibri" w:cs="Calibri"/>
                <w:b/>
              </w:rPr>
            </w:pPr>
            <w:r w:rsidRPr="00863260">
              <w:rPr>
                <w:rFonts w:ascii="Calibri" w:hAnsi="Calibri" w:cs="Calibri"/>
                <w:b/>
              </w:rPr>
              <w:t>Fellowship</w:t>
            </w:r>
            <w:r w:rsidR="00550FB2" w:rsidRPr="00863260">
              <w:rPr>
                <w:rFonts w:ascii="Calibri" w:hAnsi="Calibri" w:cs="Calibri"/>
                <w:b/>
              </w:rPr>
              <w:t xml:space="preserve"> Appointment</w:t>
            </w:r>
          </w:p>
        </w:tc>
      </w:tr>
      <w:tr w:rsidR="006A3C80" w:rsidRPr="00863260" w:rsidTr="006A3C80">
        <w:tc>
          <w:tcPr>
            <w:tcW w:w="3116" w:type="dxa"/>
          </w:tcPr>
          <w:p w:rsidR="006A3C80" w:rsidRPr="00863260" w:rsidRDefault="006A3C80">
            <w:pPr>
              <w:rPr>
                <w:rFonts w:ascii="Calibri" w:hAnsi="Calibri" w:cs="Calibri"/>
                <w:b/>
              </w:rPr>
            </w:pPr>
            <w:r w:rsidRPr="00863260">
              <w:rPr>
                <w:rFonts w:ascii="Calibri" w:hAnsi="Calibri" w:cs="Calibri"/>
                <w:b/>
              </w:rPr>
              <w:t>Employment Status</w:t>
            </w:r>
          </w:p>
        </w:tc>
        <w:tc>
          <w:tcPr>
            <w:tcW w:w="3117" w:type="dxa"/>
          </w:tcPr>
          <w:p w:rsidR="006A3C80" w:rsidRPr="00863260" w:rsidRDefault="006A3C80">
            <w:pPr>
              <w:rPr>
                <w:rFonts w:ascii="Calibri" w:hAnsi="Calibri" w:cs="Calibri"/>
              </w:rPr>
            </w:pPr>
            <w:r w:rsidRPr="00863260">
              <w:rPr>
                <w:rFonts w:ascii="Calibri" w:hAnsi="Calibri" w:cs="Calibri"/>
              </w:rPr>
              <w:t>Represented employee of the university</w:t>
            </w:r>
          </w:p>
        </w:tc>
        <w:tc>
          <w:tcPr>
            <w:tcW w:w="3117" w:type="dxa"/>
          </w:tcPr>
          <w:p w:rsidR="006A3C80" w:rsidRPr="00863260" w:rsidRDefault="006A3C80">
            <w:pPr>
              <w:rPr>
                <w:rFonts w:ascii="Calibri" w:hAnsi="Calibri" w:cs="Calibri"/>
              </w:rPr>
            </w:pPr>
            <w:r w:rsidRPr="00863260">
              <w:rPr>
                <w:rFonts w:ascii="Calibri" w:hAnsi="Calibri" w:cs="Calibri"/>
              </w:rPr>
              <w:t>No employee/employer relationship</w:t>
            </w:r>
          </w:p>
        </w:tc>
      </w:tr>
      <w:tr w:rsidR="006A3C80" w:rsidRPr="00863260" w:rsidTr="006A3C80">
        <w:tc>
          <w:tcPr>
            <w:tcW w:w="3116" w:type="dxa"/>
          </w:tcPr>
          <w:p w:rsidR="006A3C80" w:rsidRPr="00863260" w:rsidRDefault="0006350D">
            <w:pPr>
              <w:rPr>
                <w:rFonts w:ascii="Calibri" w:hAnsi="Calibri" w:cs="Calibri"/>
                <w:b/>
              </w:rPr>
            </w:pPr>
            <w:r w:rsidRPr="00863260">
              <w:rPr>
                <w:rFonts w:ascii="Calibri" w:hAnsi="Calibri" w:cs="Calibri"/>
                <w:b/>
              </w:rPr>
              <w:t>Compensation</w:t>
            </w:r>
          </w:p>
        </w:tc>
        <w:tc>
          <w:tcPr>
            <w:tcW w:w="3117" w:type="dxa"/>
          </w:tcPr>
          <w:p w:rsidR="006A3C80" w:rsidRPr="00863260" w:rsidRDefault="006A3C80">
            <w:pPr>
              <w:rPr>
                <w:rFonts w:ascii="Calibri" w:hAnsi="Calibri" w:cs="Calibri"/>
              </w:rPr>
            </w:pPr>
            <w:r w:rsidRPr="00863260">
              <w:rPr>
                <w:rFonts w:ascii="Calibri" w:hAnsi="Calibri" w:cs="Calibri"/>
              </w:rPr>
              <w:t>Student receives pay through payroll at the end of each pay period</w:t>
            </w:r>
          </w:p>
        </w:tc>
        <w:tc>
          <w:tcPr>
            <w:tcW w:w="3117" w:type="dxa"/>
          </w:tcPr>
          <w:p w:rsidR="006A3C80" w:rsidRPr="00863260" w:rsidRDefault="006A3C80">
            <w:pPr>
              <w:rPr>
                <w:rFonts w:ascii="Calibri" w:hAnsi="Calibri" w:cs="Calibri"/>
              </w:rPr>
            </w:pPr>
            <w:r w:rsidRPr="00863260">
              <w:rPr>
                <w:rFonts w:ascii="Calibri" w:hAnsi="Calibri" w:cs="Calibri"/>
              </w:rPr>
              <w:t>Students are paid through the vendor payment process in advance of the pay period</w:t>
            </w:r>
          </w:p>
        </w:tc>
      </w:tr>
      <w:tr w:rsidR="006A3C80" w:rsidRPr="00863260" w:rsidTr="006A3C80">
        <w:tc>
          <w:tcPr>
            <w:tcW w:w="3116" w:type="dxa"/>
          </w:tcPr>
          <w:p w:rsidR="006A3C80" w:rsidRPr="00863260" w:rsidRDefault="006A3C80">
            <w:pPr>
              <w:rPr>
                <w:rFonts w:ascii="Calibri" w:hAnsi="Calibri" w:cs="Calibri"/>
                <w:b/>
              </w:rPr>
            </w:pPr>
            <w:r w:rsidRPr="00863260">
              <w:rPr>
                <w:rFonts w:ascii="Calibri" w:hAnsi="Calibri" w:cs="Calibri"/>
                <w:b/>
              </w:rPr>
              <w:lastRenderedPageBreak/>
              <w:t>Tax Reporting</w:t>
            </w:r>
          </w:p>
        </w:tc>
        <w:tc>
          <w:tcPr>
            <w:tcW w:w="3117" w:type="dxa"/>
          </w:tcPr>
          <w:p w:rsidR="006A3C80" w:rsidRPr="00863260" w:rsidRDefault="006A3C80">
            <w:pPr>
              <w:rPr>
                <w:rFonts w:ascii="Calibri" w:hAnsi="Calibri" w:cs="Calibri"/>
              </w:rPr>
            </w:pPr>
            <w:r w:rsidRPr="00863260">
              <w:rPr>
                <w:rFonts w:ascii="Calibri" w:hAnsi="Calibri" w:cs="Calibri"/>
              </w:rPr>
              <w:t>Taxes are withheld, student receives W-2</w:t>
            </w:r>
          </w:p>
        </w:tc>
        <w:tc>
          <w:tcPr>
            <w:tcW w:w="3117" w:type="dxa"/>
          </w:tcPr>
          <w:p w:rsidR="006A3C80" w:rsidRPr="00863260" w:rsidRDefault="006A3C80">
            <w:pPr>
              <w:rPr>
                <w:rFonts w:ascii="Calibri" w:hAnsi="Calibri" w:cs="Calibri"/>
              </w:rPr>
            </w:pPr>
            <w:r w:rsidRPr="00863260">
              <w:rPr>
                <w:rFonts w:ascii="Calibri" w:hAnsi="Calibri" w:cs="Calibri"/>
              </w:rPr>
              <w:t>Taxes are not withheld (some ex</w:t>
            </w:r>
            <w:r w:rsidR="00244119" w:rsidRPr="00863260">
              <w:rPr>
                <w:rFonts w:ascii="Calibri" w:hAnsi="Calibri" w:cs="Calibri"/>
              </w:rPr>
              <w:t>ceptions for non-resident alien</w:t>
            </w:r>
            <w:r w:rsidRPr="00863260">
              <w:rPr>
                <w:rFonts w:ascii="Calibri" w:hAnsi="Calibri" w:cs="Calibri"/>
              </w:rPr>
              <w:t>s), university may/may not issue 1099</w:t>
            </w:r>
          </w:p>
        </w:tc>
      </w:tr>
      <w:tr w:rsidR="006A3C80" w:rsidRPr="00863260" w:rsidTr="006A3C80">
        <w:tc>
          <w:tcPr>
            <w:tcW w:w="3116" w:type="dxa"/>
          </w:tcPr>
          <w:p w:rsidR="006A3C80" w:rsidRPr="00863260" w:rsidRDefault="0006350D">
            <w:pPr>
              <w:rPr>
                <w:rFonts w:ascii="Calibri" w:hAnsi="Calibri" w:cs="Calibri"/>
                <w:b/>
              </w:rPr>
            </w:pPr>
            <w:r w:rsidRPr="00863260">
              <w:rPr>
                <w:rFonts w:ascii="Calibri" w:hAnsi="Calibri" w:cs="Calibri"/>
                <w:b/>
              </w:rPr>
              <w:t>Tuition S</w:t>
            </w:r>
            <w:r w:rsidR="00244119" w:rsidRPr="00863260">
              <w:rPr>
                <w:rFonts w:ascii="Calibri" w:hAnsi="Calibri" w:cs="Calibri"/>
                <w:b/>
              </w:rPr>
              <w:t>upport</w:t>
            </w:r>
          </w:p>
        </w:tc>
        <w:tc>
          <w:tcPr>
            <w:tcW w:w="3117" w:type="dxa"/>
          </w:tcPr>
          <w:p w:rsidR="006A3C80" w:rsidRPr="00863260" w:rsidRDefault="00244119">
            <w:pPr>
              <w:rPr>
                <w:rFonts w:ascii="Calibri" w:hAnsi="Calibri" w:cs="Calibri"/>
              </w:rPr>
            </w:pPr>
            <w:r w:rsidRPr="00863260">
              <w:rPr>
                <w:rFonts w:ascii="Calibri" w:hAnsi="Calibri" w:cs="Calibri"/>
              </w:rPr>
              <w:t xml:space="preserve">Tuition is </w:t>
            </w:r>
            <w:r w:rsidR="004B2F37" w:rsidRPr="00863260">
              <w:rPr>
                <w:rFonts w:ascii="Calibri" w:hAnsi="Calibri" w:cs="Calibri"/>
              </w:rPr>
              <w:t>assessed at resident rate and remission</w:t>
            </w:r>
            <w:r w:rsidRPr="00863260">
              <w:rPr>
                <w:rFonts w:ascii="Calibri" w:hAnsi="Calibri" w:cs="Calibri"/>
              </w:rPr>
              <w:t xml:space="preserve"> follows payroll (unless grant funded and tuition is not allowed by sponsor, then cost share</w:t>
            </w:r>
            <w:r w:rsidR="00FC1E4D">
              <w:rPr>
                <w:rFonts w:ascii="Calibri" w:hAnsi="Calibri" w:cs="Calibri"/>
              </w:rPr>
              <w:t>d</w:t>
            </w:r>
            <w:r w:rsidRPr="00863260">
              <w:rPr>
                <w:rFonts w:ascii="Calibri" w:hAnsi="Calibri" w:cs="Calibri"/>
              </w:rPr>
              <w:t xml:space="preserve"> by unit)</w:t>
            </w:r>
            <w:r w:rsidR="0006350D" w:rsidRPr="00863260">
              <w:rPr>
                <w:rFonts w:ascii="Calibri" w:hAnsi="Calibri" w:cs="Calibri"/>
              </w:rPr>
              <w:t>.  Consider</w:t>
            </w:r>
            <w:r w:rsidR="00FC1E4D">
              <w:rPr>
                <w:rFonts w:ascii="Calibri" w:hAnsi="Calibri" w:cs="Calibri"/>
              </w:rPr>
              <w:t>ed</w:t>
            </w:r>
            <w:r w:rsidR="0006350D" w:rsidRPr="00863260">
              <w:rPr>
                <w:rFonts w:ascii="Calibri" w:hAnsi="Calibri" w:cs="Calibri"/>
              </w:rPr>
              <w:t xml:space="preserve"> a payroll benefit.</w:t>
            </w:r>
          </w:p>
        </w:tc>
        <w:tc>
          <w:tcPr>
            <w:tcW w:w="3117" w:type="dxa"/>
          </w:tcPr>
          <w:p w:rsidR="006A3C80" w:rsidRPr="00863260" w:rsidRDefault="004B2F37">
            <w:pPr>
              <w:rPr>
                <w:rFonts w:ascii="Calibri" w:hAnsi="Calibri" w:cs="Calibri"/>
              </w:rPr>
            </w:pPr>
            <w:r w:rsidRPr="00863260">
              <w:rPr>
                <w:rFonts w:ascii="Calibri" w:hAnsi="Calibri" w:cs="Calibri"/>
              </w:rPr>
              <w:t>Tuition is assessed at resident rate and charged to sponsor, to the maximum extent possible, and, if requested in time, any shortfall can be covered by the Graduate School</w:t>
            </w:r>
            <w:r w:rsidR="00FF5689" w:rsidRPr="00863260">
              <w:rPr>
                <w:rFonts w:ascii="Calibri" w:hAnsi="Calibri" w:cs="Calibri"/>
              </w:rPr>
              <w:t xml:space="preserve"> (except summer term)</w:t>
            </w:r>
            <w:r w:rsidR="0006350D" w:rsidRPr="00863260">
              <w:rPr>
                <w:rFonts w:ascii="Calibri" w:hAnsi="Calibri" w:cs="Calibri"/>
              </w:rPr>
              <w:t>.  Posted by Student Accounts.</w:t>
            </w:r>
          </w:p>
        </w:tc>
        <w:bookmarkStart w:id="0" w:name="_GoBack"/>
        <w:bookmarkEnd w:id="0"/>
      </w:tr>
      <w:tr w:rsidR="006A3C80" w:rsidRPr="00863260" w:rsidTr="006A3C80">
        <w:tc>
          <w:tcPr>
            <w:tcW w:w="3116" w:type="dxa"/>
          </w:tcPr>
          <w:p w:rsidR="006A3C80" w:rsidRPr="00863260" w:rsidRDefault="00FF5689">
            <w:pPr>
              <w:rPr>
                <w:rFonts w:ascii="Calibri" w:hAnsi="Calibri" w:cs="Calibri"/>
                <w:b/>
              </w:rPr>
            </w:pPr>
            <w:r w:rsidRPr="00863260">
              <w:rPr>
                <w:rFonts w:ascii="Calibri" w:hAnsi="Calibri" w:cs="Calibri"/>
                <w:b/>
              </w:rPr>
              <w:t>Health Insurance</w:t>
            </w:r>
          </w:p>
        </w:tc>
        <w:tc>
          <w:tcPr>
            <w:tcW w:w="3117" w:type="dxa"/>
          </w:tcPr>
          <w:p w:rsidR="006A3C80" w:rsidRPr="00863260" w:rsidRDefault="00FF5689" w:rsidP="008F60ED">
            <w:pPr>
              <w:rPr>
                <w:rFonts w:ascii="Calibri" w:hAnsi="Calibri" w:cs="Calibri"/>
              </w:rPr>
            </w:pPr>
            <w:r w:rsidRPr="00863260">
              <w:rPr>
                <w:rFonts w:ascii="Calibri" w:hAnsi="Calibri" w:cs="Calibri"/>
              </w:rPr>
              <w:t xml:space="preserve">Provided </w:t>
            </w:r>
            <w:r w:rsidR="008F60ED">
              <w:rPr>
                <w:rFonts w:ascii="Calibri" w:hAnsi="Calibri" w:cs="Calibri"/>
              </w:rPr>
              <w:t>as a benefit, per the collective bargaining agreement with CGE</w:t>
            </w:r>
          </w:p>
        </w:tc>
        <w:tc>
          <w:tcPr>
            <w:tcW w:w="3117" w:type="dxa"/>
          </w:tcPr>
          <w:p w:rsidR="006A3C80" w:rsidRPr="00863260" w:rsidRDefault="00FF5689">
            <w:pPr>
              <w:rPr>
                <w:rFonts w:ascii="Calibri" w:hAnsi="Calibri" w:cs="Calibri"/>
              </w:rPr>
            </w:pPr>
            <w:r w:rsidRPr="00863260">
              <w:rPr>
                <w:rFonts w:ascii="Calibri" w:hAnsi="Calibri" w:cs="Calibri"/>
              </w:rPr>
              <w:t>Provided and, if allowable, charged to sponsor to the maximum extent possible</w:t>
            </w:r>
          </w:p>
        </w:tc>
      </w:tr>
      <w:tr w:rsidR="006A3C80" w:rsidRPr="00863260" w:rsidTr="006A3C80">
        <w:tc>
          <w:tcPr>
            <w:tcW w:w="3116" w:type="dxa"/>
          </w:tcPr>
          <w:p w:rsidR="006A3C80" w:rsidRPr="00863260" w:rsidRDefault="0006350D">
            <w:pPr>
              <w:rPr>
                <w:rFonts w:ascii="Calibri" w:hAnsi="Calibri" w:cs="Calibri"/>
                <w:b/>
              </w:rPr>
            </w:pPr>
            <w:r w:rsidRPr="00863260">
              <w:rPr>
                <w:rFonts w:ascii="Calibri" w:hAnsi="Calibri" w:cs="Calibri"/>
                <w:b/>
              </w:rPr>
              <w:t>Stipend Minimums/Maximums</w:t>
            </w:r>
          </w:p>
        </w:tc>
        <w:tc>
          <w:tcPr>
            <w:tcW w:w="3117" w:type="dxa"/>
          </w:tcPr>
          <w:p w:rsidR="006A3C80" w:rsidRPr="00863260" w:rsidRDefault="00FF5689">
            <w:pPr>
              <w:rPr>
                <w:rFonts w:ascii="Calibri" w:hAnsi="Calibri" w:cs="Calibri"/>
              </w:rPr>
            </w:pPr>
            <w:r w:rsidRPr="00863260">
              <w:rPr>
                <w:rFonts w:ascii="Calibri" w:hAnsi="Calibri" w:cs="Calibri"/>
              </w:rPr>
              <w:t>Subject to unit policies and Graduate School guidelines</w:t>
            </w:r>
          </w:p>
        </w:tc>
        <w:tc>
          <w:tcPr>
            <w:tcW w:w="3117" w:type="dxa"/>
          </w:tcPr>
          <w:p w:rsidR="006A3C80" w:rsidRPr="00863260" w:rsidRDefault="00FC1E4D">
            <w:pPr>
              <w:rPr>
                <w:rFonts w:ascii="Calibri" w:hAnsi="Calibri" w:cs="Calibri"/>
              </w:rPr>
            </w:pPr>
            <w:r>
              <w:rPr>
                <w:rFonts w:ascii="Calibri" w:hAnsi="Calibri" w:cs="Calibri"/>
              </w:rPr>
              <w:t xml:space="preserve">Minimum of </w:t>
            </w:r>
            <w:r w:rsidR="00824160">
              <w:rPr>
                <w:rFonts w:ascii="Calibri" w:hAnsi="Calibri" w:cs="Calibri"/>
              </w:rPr>
              <w:t>$2,000</w:t>
            </w:r>
            <w:r w:rsidR="00FF5689" w:rsidRPr="00863260">
              <w:rPr>
                <w:rFonts w:ascii="Calibri" w:hAnsi="Calibri" w:cs="Calibri"/>
              </w:rPr>
              <w:t>/month for 2020-21.</w:t>
            </w:r>
          </w:p>
        </w:tc>
      </w:tr>
      <w:tr w:rsidR="00FF5689" w:rsidRPr="00863260" w:rsidTr="006A3C80">
        <w:tc>
          <w:tcPr>
            <w:tcW w:w="3116" w:type="dxa"/>
          </w:tcPr>
          <w:p w:rsidR="00FF5689" w:rsidRPr="00863260" w:rsidRDefault="0006350D">
            <w:pPr>
              <w:rPr>
                <w:rFonts w:ascii="Calibri" w:hAnsi="Calibri" w:cs="Calibri"/>
                <w:b/>
              </w:rPr>
            </w:pPr>
            <w:r w:rsidRPr="00863260">
              <w:rPr>
                <w:rFonts w:ascii="Calibri" w:hAnsi="Calibri" w:cs="Calibri"/>
                <w:b/>
              </w:rPr>
              <w:t>Additional A</w:t>
            </w:r>
            <w:r w:rsidR="00FF5689" w:rsidRPr="00863260">
              <w:rPr>
                <w:rFonts w:ascii="Calibri" w:hAnsi="Calibri" w:cs="Calibri"/>
                <w:b/>
              </w:rPr>
              <w:t>llowances</w:t>
            </w:r>
          </w:p>
        </w:tc>
        <w:tc>
          <w:tcPr>
            <w:tcW w:w="3117" w:type="dxa"/>
          </w:tcPr>
          <w:p w:rsidR="00FF5689" w:rsidRPr="00863260" w:rsidRDefault="00FF5689">
            <w:pPr>
              <w:rPr>
                <w:rFonts w:ascii="Calibri" w:hAnsi="Calibri" w:cs="Calibri"/>
              </w:rPr>
            </w:pPr>
            <w:r w:rsidRPr="00863260">
              <w:rPr>
                <w:rFonts w:ascii="Calibri" w:hAnsi="Calibri" w:cs="Calibri"/>
              </w:rPr>
              <w:t>Other expenses typically charged as non-participant support lines on grant</w:t>
            </w:r>
          </w:p>
        </w:tc>
        <w:tc>
          <w:tcPr>
            <w:tcW w:w="3117" w:type="dxa"/>
          </w:tcPr>
          <w:p w:rsidR="00FF5689" w:rsidRPr="00863260" w:rsidRDefault="00FF5689">
            <w:pPr>
              <w:rPr>
                <w:rFonts w:ascii="Calibri" w:hAnsi="Calibri" w:cs="Calibri"/>
              </w:rPr>
            </w:pPr>
            <w:r w:rsidRPr="00863260">
              <w:rPr>
                <w:rFonts w:ascii="Calibri" w:hAnsi="Calibri" w:cs="Calibri"/>
              </w:rPr>
              <w:t>If provided, student may use for travel, research supplies, professional development, etc.  Graduate School may assess levy on institutional allowance to offset tuition support.</w:t>
            </w:r>
          </w:p>
        </w:tc>
      </w:tr>
    </w:tbl>
    <w:p w:rsidR="006A3C80" w:rsidRPr="00863260" w:rsidRDefault="006A3C80">
      <w:pPr>
        <w:rPr>
          <w:rFonts w:ascii="Calibri" w:hAnsi="Calibri" w:cs="Calibri"/>
        </w:rPr>
      </w:pPr>
    </w:p>
    <w:p w:rsidR="006A3C80" w:rsidRPr="00863260" w:rsidRDefault="006A3C80">
      <w:pPr>
        <w:rPr>
          <w:rFonts w:ascii="Calibri" w:hAnsi="Calibri" w:cs="Calibri"/>
        </w:rPr>
      </w:pPr>
    </w:p>
    <w:sectPr w:rsidR="006A3C80" w:rsidRPr="00863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4032D"/>
    <w:multiLevelType w:val="multilevel"/>
    <w:tmpl w:val="2632C4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9C33D5"/>
    <w:multiLevelType w:val="multilevel"/>
    <w:tmpl w:val="16D89C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0429E2"/>
    <w:multiLevelType w:val="multilevel"/>
    <w:tmpl w:val="16D89C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DF1D05"/>
    <w:multiLevelType w:val="multilevel"/>
    <w:tmpl w:val="E7D8E6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C80"/>
    <w:rsid w:val="0006350D"/>
    <w:rsid w:val="00091B07"/>
    <w:rsid w:val="000B0E28"/>
    <w:rsid w:val="00244119"/>
    <w:rsid w:val="002520CF"/>
    <w:rsid w:val="00325231"/>
    <w:rsid w:val="003F5C12"/>
    <w:rsid w:val="004B2F37"/>
    <w:rsid w:val="00550FB2"/>
    <w:rsid w:val="006A3C80"/>
    <w:rsid w:val="0070394E"/>
    <w:rsid w:val="00824160"/>
    <w:rsid w:val="0084295B"/>
    <w:rsid w:val="00863260"/>
    <w:rsid w:val="008F60ED"/>
    <w:rsid w:val="009179FF"/>
    <w:rsid w:val="00926851"/>
    <w:rsid w:val="009D55D9"/>
    <w:rsid w:val="00AB70E1"/>
    <w:rsid w:val="00BB2307"/>
    <w:rsid w:val="00BF53DC"/>
    <w:rsid w:val="00C136A4"/>
    <w:rsid w:val="00CF3404"/>
    <w:rsid w:val="00D04FF4"/>
    <w:rsid w:val="00D1770A"/>
    <w:rsid w:val="00D20186"/>
    <w:rsid w:val="00D5060A"/>
    <w:rsid w:val="00D6691F"/>
    <w:rsid w:val="00DE48BE"/>
    <w:rsid w:val="00EF4BD9"/>
    <w:rsid w:val="00F03D39"/>
    <w:rsid w:val="00FC1E4D"/>
    <w:rsid w:val="00FF5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A8294"/>
  <w15:chartTrackingRefBased/>
  <w15:docId w15:val="{E83C9453-228C-4370-B38B-7B5D9A2FD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50FB2"/>
    <w:pPr>
      <w:spacing w:before="270" w:after="75" w:line="660" w:lineRule="atLeast"/>
      <w:outlineLvl w:val="2"/>
    </w:pPr>
    <w:rPr>
      <w:rFonts w:ascii="inherit" w:eastAsia="Times New Roman" w:hAnsi="inherit"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C80"/>
    <w:pPr>
      <w:ind w:left="720"/>
      <w:contextualSpacing/>
    </w:pPr>
  </w:style>
  <w:style w:type="table" w:styleId="TableGrid">
    <w:name w:val="Table Grid"/>
    <w:basedOn w:val="TableNormal"/>
    <w:uiPriority w:val="39"/>
    <w:rsid w:val="006A3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50FB2"/>
    <w:rPr>
      <w:rFonts w:ascii="inherit" w:eastAsia="Times New Roman" w:hAnsi="inherit" w:cs="Times New Roman"/>
      <w:b/>
      <w:bCs/>
      <w:sz w:val="29"/>
      <w:szCs w:val="29"/>
    </w:rPr>
  </w:style>
  <w:style w:type="character" w:styleId="Hyperlink">
    <w:name w:val="Hyperlink"/>
    <w:basedOn w:val="DefaultParagraphFont"/>
    <w:uiPriority w:val="99"/>
    <w:unhideWhenUsed/>
    <w:rsid w:val="008632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32806">
      <w:bodyDiv w:val="1"/>
      <w:marLeft w:val="0"/>
      <w:marRight w:val="0"/>
      <w:marTop w:val="0"/>
      <w:marBottom w:val="0"/>
      <w:divBdr>
        <w:top w:val="none" w:sz="0" w:space="0" w:color="auto"/>
        <w:left w:val="none" w:sz="0" w:space="0" w:color="auto"/>
        <w:bottom w:val="none" w:sz="0" w:space="0" w:color="auto"/>
        <w:right w:val="none" w:sz="0" w:space="0" w:color="auto"/>
      </w:divBdr>
      <w:divsChild>
        <w:div w:id="33041358">
          <w:marLeft w:val="0"/>
          <w:marRight w:val="0"/>
          <w:marTop w:val="0"/>
          <w:marBottom w:val="0"/>
          <w:divBdr>
            <w:top w:val="none" w:sz="0" w:space="0" w:color="auto"/>
            <w:left w:val="none" w:sz="0" w:space="0" w:color="auto"/>
            <w:bottom w:val="none" w:sz="0" w:space="0" w:color="auto"/>
            <w:right w:val="none" w:sz="0" w:space="0" w:color="auto"/>
          </w:divBdr>
          <w:divsChild>
            <w:div w:id="2119986691">
              <w:marLeft w:val="0"/>
              <w:marRight w:val="0"/>
              <w:marTop w:val="0"/>
              <w:marBottom w:val="0"/>
              <w:divBdr>
                <w:top w:val="none" w:sz="0" w:space="0" w:color="auto"/>
                <w:left w:val="none" w:sz="0" w:space="0" w:color="auto"/>
                <w:bottom w:val="none" w:sz="0" w:space="0" w:color="auto"/>
                <w:right w:val="none" w:sz="0" w:space="0" w:color="auto"/>
              </w:divBdr>
              <w:divsChild>
                <w:div w:id="2045209564">
                  <w:marLeft w:val="0"/>
                  <w:marRight w:val="0"/>
                  <w:marTop w:val="0"/>
                  <w:marBottom w:val="0"/>
                  <w:divBdr>
                    <w:top w:val="none" w:sz="0" w:space="0" w:color="auto"/>
                    <w:left w:val="none" w:sz="0" w:space="0" w:color="auto"/>
                    <w:bottom w:val="none" w:sz="0" w:space="0" w:color="auto"/>
                    <w:right w:val="none" w:sz="0" w:space="0" w:color="auto"/>
                  </w:divBdr>
                  <w:divsChild>
                    <w:div w:id="782191798">
                      <w:marLeft w:val="0"/>
                      <w:marRight w:val="0"/>
                      <w:marTop w:val="0"/>
                      <w:marBottom w:val="0"/>
                      <w:divBdr>
                        <w:top w:val="none" w:sz="0" w:space="0" w:color="auto"/>
                        <w:left w:val="none" w:sz="0" w:space="0" w:color="auto"/>
                        <w:bottom w:val="none" w:sz="0" w:space="0" w:color="auto"/>
                        <w:right w:val="none" w:sz="0" w:space="0" w:color="auto"/>
                      </w:divBdr>
                      <w:divsChild>
                        <w:div w:id="2105802883">
                          <w:marLeft w:val="0"/>
                          <w:marRight w:val="0"/>
                          <w:marTop w:val="0"/>
                          <w:marBottom w:val="0"/>
                          <w:divBdr>
                            <w:top w:val="none" w:sz="0" w:space="0" w:color="auto"/>
                            <w:left w:val="none" w:sz="0" w:space="0" w:color="auto"/>
                            <w:bottom w:val="none" w:sz="0" w:space="0" w:color="auto"/>
                            <w:right w:val="none" w:sz="0" w:space="0" w:color="auto"/>
                          </w:divBdr>
                          <w:divsChild>
                            <w:div w:id="1642728562">
                              <w:marLeft w:val="0"/>
                              <w:marRight w:val="0"/>
                              <w:marTop w:val="0"/>
                              <w:marBottom w:val="240"/>
                              <w:divBdr>
                                <w:top w:val="none" w:sz="0" w:space="0" w:color="auto"/>
                                <w:left w:val="none" w:sz="0" w:space="0" w:color="auto"/>
                                <w:bottom w:val="none" w:sz="0" w:space="0" w:color="auto"/>
                                <w:right w:val="none" w:sz="0" w:space="0" w:color="auto"/>
                              </w:divBdr>
                              <w:divsChild>
                                <w:div w:id="1349259761">
                                  <w:marLeft w:val="0"/>
                                  <w:marRight w:val="0"/>
                                  <w:marTop w:val="0"/>
                                  <w:marBottom w:val="0"/>
                                  <w:divBdr>
                                    <w:top w:val="none" w:sz="0" w:space="0" w:color="auto"/>
                                    <w:left w:val="none" w:sz="0" w:space="0" w:color="auto"/>
                                    <w:bottom w:val="none" w:sz="0" w:space="0" w:color="auto"/>
                                    <w:right w:val="none" w:sz="0" w:space="0" w:color="auto"/>
                                  </w:divBdr>
                                  <w:divsChild>
                                    <w:div w:id="1990934054">
                                      <w:marLeft w:val="0"/>
                                      <w:marRight w:val="0"/>
                                      <w:marTop w:val="0"/>
                                      <w:marBottom w:val="0"/>
                                      <w:divBdr>
                                        <w:top w:val="none" w:sz="0" w:space="0" w:color="auto"/>
                                        <w:left w:val="none" w:sz="0" w:space="0" w:color="auto"/>
                                        <w:bottom w:val="none" w:sz="0" w:space="0" w:color="auto"/>
                                        <w:right w:val="none" w:sz="0" w:space="0" w:color="auto"/>
                                      </w:divBdr>
                                      <w:divsChild>
                                        <w:div w:id="136145767">
                                          <w:marLeft w:val="0"/>
                                          <w:marRight w:val="0"/>
                                          <w:marTop w:val="96"/>
                                          <w:marBottom w:val="240"/>
                                          <w:divBdr>
                                            <w:top w:val="none" w:sz="0" w:space="0" w:color="auto"/>
                                            <w:left w:val="none" w:sz="0" w:space="0" w:color="auto"/>
                                            <w:bottom w:val="none" w:sz="0" w:space="0" w:color="auto"/>
                                            <w:right w:val="none" w:sz="0" w:space="0" w:color="auto"/>
                                          </w:divBdr>
                                          <w:divsChild>
                                            <w:div w:id="1536767303">
                                              <w:marLeft w:val="0"/>
                                              <w:marRight w:val="0"/>
                                              <w:marTop w:val="0"/>
                                              <w:marBottom w:val="0"/>
                                              <w:divBdr>
                                                <w:top w:val="none" w:sz="0" w:space="0" w:color="auto"/>
                                                <w:left w:val="none" w:sz="0" w:space="0" w:color="auto"/>
                                                <w:bottom w:val="none" w:sz="0" w:space="0" w:color="auto"/>
                                                <w:right w:val="none" w:sz="0" w:space="0" w:color="auto"/>
                                              </w:divBdr>
                                              <w:divsChild>
                                                <w:div w:id="434327006">
                                                  <w:marLeft w:val="0"/>
                                                  <w:marRight w:val="0"/>
                                                  <w:marTop w:val="96"/>
                                                  <w:marBottom w:val="240"/>
                                                  <w:divBdr>
                                                    <w:top w:val="none" w:sz="0" w:space="0" w:color="auto"/>
                                                    <w:left w:val="none" w:sz="0" w:space="0" w:color="auto"/>
                                                    <w:bottom w:val="none" w:sz="0" w:space="0" w:color="auto"/>
                                                    <w:right w:val="none" w:sz="0" w:space="0" w:color="auto"/>
                                                  </w:divBdr>
                                                  <w:divsChild>
                                                    <w:div w:id="856387416">
                                                      <w:marLeft w:val="0"/>
                                                      <w:marRight w:val="0"/>
                                                      <w:marTop w:val="0"/>
                                                      <w:marBottom w:val="0"/>
                                                      <w:divBdr>
                                                        <w:top w:val="none" w:sz="0" w:space="0" w:color="auto"/>
                                                        <w:left w:val="none" w:sz="0" w:space="0" w:color="auto"/>
                                                        <w:bottom w:val="none" w:sz="0" w:space="0" w:color="auto"/>
                                                        <w:right w:val="none" w:sz="0" w:space="0" w:color="auto"/>
                                                      </w:divBdr>
                                                      <w:divsChild>
                                                        <w:div w:id="1932927894">
                                                          <w:marLeft w:val="0"/>
                                                          <w:marRight w:val="0"/>
                                                          <w:marTop w:val="0"/>
                                                          <w:marBottom w:val="0"/>
                                                          <w:divBdr>
                                                            <w:top w:val="none" w:sz="0" w:space="0" w:color="auto"/>
                                                            <w:left w:val="none" w:sz="0" w:space="0" w:color="auto"/>
                                                            <w:bottom w:val="none" w:sz="0" w:space="0" w:color="auto"/>
                                                            <w:right w:val="none" w:sz="0" w:space="0" w:color="auto"/>
                                                          </w:divBdr>
                                                          <w:divsChild>
                                                            <w:div w:id="1259602073">
                                                              <w:marLeft w:val="0"/>
                                                              <w:marRight w:val="0"/>
                                                              <w:marTop w:val="0"/>
                                                              <w:marBottom w:val="240"/>
                                                              <w:divBdr>
                                                                <w:top w:val="none" w:sz="0" w:space="0" w:color="auto"/>
                                                                <w:left w:val="none" w:sz="0" w:space="0" w:color="auto"/>
                                                                <w:bottom w:val="none" w:sz="0" w:space="0" w:color="auto"/>
                                                                <w:right w:val="none" w:sz="0" w:space="0" w:color="auto"/>
                                                              </w:divBdr>
                                                              <w:divsChild>
                                                                <w:div w:id="426654709">
                                                                  <w:marLeft w:val="0"/>
                                                                  <w:marRight w:val="0"/>
                                                                  <w:marTop w:val="0"/>
                                                                  <w:marBottom w:val="0"/>
                                                                  <w:divBdr>
                                                                    <w:top w:val="none" w:sz="0" w:space="0" w:color="auto"/>
                                                                    <w:left w:val="none" w:sz="0" w:space="0" w:color="auto"/>
                                                                    <w:bottom w:val="none" w:sz="0" w:space="0" w:color="auto"/>
                                                                    <w:right w:val="none" w:sz="0" w:space="0" w:color="auto"/>
                                                                  </w:divBdr>
                                                                  <w:divsChild>
                                                                    <w:div w:id="6369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Silbernagel, Lisa</dc:creator>
  <cp:keywords/>
  <dc:description/>
  <cp:lastModifiedBy>Silbernagel, Lisa</cp:lastModifiedBy>
  <cp:revision>10</cp:revision>
  <dcterms:created xsi:type="dcterms:W3CDTF">2020-11-18T22:00:00Z</dcterms:created>
  <dcterms:modified xsi:type="dcterms:W3CDTF">2021-03-19T23:34:00Z</dcterms:modified>
</cp:coreProperties>
</file>